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6836546D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1E1EC0" w:rsidRPr="001E1EC0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Pr="001E1EC0">
        <w:rPr>
          <w:rFonts w:ascii="Times New Roman" w:hAnsi="Times New Roman" w:cs="Times New Roman"/>
          <w:b/>
          <w:bCs/>
          <w:sz w:val="22"/>
          <w:szCs w:val="24"/>
        </w:rPr>
        <w:t> 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8AA52" w14:textId="77777777" w:rsidR="00373582" w:rsidRDefault="003735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316D9879" w:rsidR="000B247E" w:rsidRPr="00EB25F9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EB25F9">
      <w:rPr>
        <w:rFonts w:ascii="Times New Roman" w:hAnsi="Times New Roman" w:cs="Times New Roman"/>
        <w:sz w:val="16"/>
        <w:szCs w:val="16"/>
      </w:rPr>
      <w:t xml:space="preserve">ANNEXE </w:t>
    </w:r>
    <w:r w:rsidR="00EB25F9" w:rsidRPr="00EB25F9">
      <w:rPr>
        <w:rFonts w:ascii="Times New Roman" w:hAnsi="Times New Roman" w:cs="Times New Roman"/>
        <w:sz w:val="16"/>
        <w:szCs w:val="16"/>
      </w:rPr>
      <w:t>5</w:t>
    </w:r>
    <w:r w:rsidRPr="00EB25F9"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50D83" w14:textId="77777777" w:rsidR="00373582" w:rsidRDefault="003735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897BC" w14:textId="77777777" w:rsidR="00373582" w:rsidRDefault="0037358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8495" w14:textId="77777777" w:rsidR="00373582" w:rsidRDefault="003735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1EC0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B25F9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874BEA"/>
  <w15:docId w15:val="{BC821801-2187-4D91-B6CA-666E839E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GROLLET Laurence</cp:lastModifiedBy>
  <cp:revision>3</cp:revision>
  <cp:lastPrinted>2011-05-24T09:22:00Z</cp:lastPrinted>
  <dcterms:created xsi:type="dcterms:W3CDTF">2025-11-25T11:45:00Z</dcterms:created>
  <dcterms:modified xsi:type="dcterms:W3CDTF">2025-12-09T13:24:00Z</dcterms:modified>
</cp:coreProperties>
</file>